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83A41" w14:textId="75F0065F" w:rsidR="00DE4D5D" w:rsidRDefault="00715983">
      <w:r w:rsidRPr="00715983">
        <w:t>Uważam że prace wykonywane na tej rzece będą miały negatywny wpływ na bioróżnorodność która występuję tam obecnie. Chociażby naruszenie dna będzie źle wpływało na włosienniczkę a "poprawa" lini</w:t>
      </w:r>
      <w:r>
        <w:t>i</w:t>
      </w:r>
      <w:r w:rsidRPr="00715983">
        <w:t xml:space="preserve"> brzegowej może skutkować zanikiem występowania kumaka gdyś mogą utracić naturalne siedliska które potrzebują wody.</w:t>
      </w:r>
    </w:p>
    <w:p w14:paraId="0BCFA03F" w14:textId="77777777" w:rsidR="00715983" w:rsidRDefault="00715983" w:rsidP="00715983">
      <w:r>
        <w:t>Dodatkowa charakterystyka obszaru:</w:t>
      </w:r>
    </w:p>
    <w:p w14:paraId="46FC3ECA" w14:textId="6BF8B614" w:rsidR="00715983" w:rsidRDefault="00715983" w:rsidP="00715983">
      <w:r>
        <w:t xml:space="preserve"> Obszar położony jest w północnej części województwa śląskiego, w powiecie częstochowskim, w gminach</w:t>
      </w:r>
      <w:r>
        <w:t xml:space="preserve"> </w:t>
      </w:r>
      <w:r>
        <w:t xml:space="preserve"> Lelów i Koniecpol. Pod względem fizyczno-geograficznym należy do makroregionu Wyżyna Przedborska,</w:t>
      </w:r>
      <w:r>
        <w:t xml:space="preserve"> </w:t>
      </w:r>
      <w:r>
        <w:t xml:space="preserve"> mezoregionu Niecka Włoszczowska. </w:t>
      </w:r>
    </w:p>
    <w:p w14:paraId="7C944208" w14:textId="00ABE73D" w:rsidR="00715983" w:rsidRDefault="00715983" w:rsidP="00715983">
      <w:r>
        <w:t>Obszar Natura 2000 Białka Lelowska obejmuje: odcinek Białki Lelowskiej od km 3 800 (pośród podmokłych</w:t>
      </w:r>
      <w:r>
        <w:t xml:space="preserve"> </w:t>
      </w:r>
      <w:r>
        <w:t>łąk poniżej m. Wąsosz)  do km 12 940 (most drogowy w ciągu drogi gminnej w m. Lelów oraz ciek Młynówka</w:t>
      </w:r>
      <w:r>
        <w:t xml:space="preserve"> </w:t>
      </w:r>
      <w:r>
        <w:t>(lewostronny dopływ Białki L.) na całej jego długości tj. ok. 0,43km.</w:t>
      </w:r>
    </w:p>
    <w:p w14:paraId="5821CCDC" w14:textId="367DCD64" w:rsidR="00715983" w:rsidRDefault="00715983" w:rsidP="00715983">
      <w:r>
        <w:t xml:space="preserve"> Na wymienionym odcinku cieku znajdują się siedliska minoga strumieniowego Lampetra planeri oraz</w:t>
      </w:r>
      <w:r>
        <w:t xml:space="preserve"> </w:t>
      </w:r>
      <w:r>
        <w:t xml:space="preserve"> głowacza białopłetwego Cottus gobio. Na przeważającym obszarze zlewni Białki Lelowskiej </w:t>
      </w:r>
      <w:r>
        <w:t>p</w:t>
      </w:r>
      <w:r>
        <w:t>rowadzona jest działalność rolnicza. Od wieków występują tu liczne stawy będące wynikiem działalności antropogenicznej. W</w:t>
      </w:r>
      <w:r>
        <w:t xml:space="preserve"> </w:t>
      </w:r>
      <w:r>
        <w:t>obszarze Natura 2000 Białkę Lelowską przecinają liczne obiekty: 2 przepusty, 7 mostów, 2 czynne jazy (m.</w:t>
      </w:r>
      <w:r>
        <w:t xml:space="preserve"> </w:t>
      </w:r>
      <w:r>
        <w:t>Bogumiłek i m. Biała Wielka), 2 jazy w ruinie (m. Wąsosz i m. Lelów), 3 obiekty będące pozostałościami</w:t>
      </w:r>
      <w:r>
        <w:t xml:space="preserve"> </w:t>
      </w:r>
      <w:r>
        <w:t>dawnych młynów. Charakterystyczne dla zlewni Białki Lelowskiej jest także występowanie wielu obszarów</w:t>
      </w:r>
      <w:r>
        <w:t xml:space="preserve"> </w:t>
      </w:r>
      <w:r>
        <w:t xml:space="preserve">bagiennych oraz licznej sieci rowów melioracyjnych. </w:t>
      </w:r>
    </w:p>
    <w:p w14:paraId="255E3C75" w14:textId="65E842AB" w:rsidR="00715983" w:rsidRDefault="00715983" w:rsidP="00715983">
      <w:r>
        <w:t>Sieć rzeczna obszaru Natura 2000 Białka Lelowska PLH 240031 znajduje się w granicach obwodu</w:t>
      </w:r>
      <w:r>
        <w:t xml:space="preserve"> </w:t>
      </w:r>
      <w:r>
        <w:t>rybackiego rzeki Pilica - nr 1.</w:t>
      </w:r>
    </w:p>
    <w:p w14:paraId="04D9F156" w14:textId="1071403B" w:rsidR="00715983" w:rsidRDefault="00715983" w:rsidP="00715983">
      <w:r>
        <w:t>Obszar Natura 2000 Białka Lelowska sąsiaduje z obszarem Natura 2000 Dolina Górnej Pilicy PLH260018. W kierunku zachodnim i południowo-zachodnim od obszaru zlokalizowany jest  Park Krajobrazowy Orlich Gniazd i jego otulina.</w:t>
      </w:r>
    </w:p>
    <w:p w14:paraId="380C3447" w14:textId="77777777" w:rsidR="00715983" w:rsidRDefault="00715983" w:rsidP="00715983">
      <w:r>
        <w:t xml:space="preserve"> 4.2. Jakość i znaczenie</w:t>
      </w:r>
    </w:p>
    <w:p w14:paraId="3ECCDA2E" w14:textId="68F7E655" w:rsidR="00715983" w:rsidRDefault="00715983" w:rsidP="00715983">
      <w:r>
        <w:t>Przedmiotem ochrony w obszarze PLH240031 jest bóbr, wydra, minóg strumieniowy i głowacz białopłetwy, gatunki ujęte w Załączniku II Dyrektywy siedliskowej.</w:t>
      </w:r>
    </w:p>
    <w:p w14:paraId="53DAEB01" w14:textId="77777777" w:rsidR="00715983" w:rsidRDefault="00715983" w:rsidP="00715983">
      <w:r>
        <w:t xml:space="preserve"> 1096 Minóg strumieniowy (Lampetra planeri)</w:t>
      </w:r>
    </w:p>
    <w:p w14:paraId="13233677" w14:textId="5BB06842" w:rsidR="00715983" w:rsidRDefault="00715983" w:rsidP="00715983">
      <w:r>
        <w:t>Ocena populacji C, populacja gatunku w obszarze mieści się w przedziale 2% ≥ p &gt; 0% populacji krajowej. W</w:t>
      </w:r>
      <w:r>
        <w:t xml:space="preserve"> </w:t>
      </w:r>
      <w:r>
        <w:t>granicach obszaru Natura 2000 Białka Lelowska ten gatunek minoga wciąż występuje, choć jego liczebność systematycznie spada. Przeprowadzone w 2020 roku badania (trzy stanowiska połowu – nr 2, 4 i 6) dowiodły, że gatunek ten występuje na odcinku od m. Bogumiłek do jazu w m. Biała Wielka. Dane uzyskane na podstawie badań własnych autorów ekspertyzy nie pozwalają na wiarygodne określenie liczebności populacji maksymalnej – złowiony został tylko 1 dorosły okaz na stanowisku nr 4. Z tego właśnie względu, do określenia liczebności maksymalnej wykorzystano badania Penczaka i in. (2007) z lat 2003-2005, które wykazały, że minóg strumieniowy występował w obszarze w ilościach około 20 osobników na 500 m linii</w:t>
      </w:r>
      <w:r>
        <w:t xml:space="preserve"> </w:t>
      </w:r>
      <w:r>
        <w:t xml:space="preserve">brzegowej (100-metrowe stanowisko łowione przy obydwu brzegach rzeki traktowano jak 200-metrowe stanowisko łowione przy jednym brzegu). Przyjmując równomierne rozmieszczenie osobników minoga strumieniowego na badanych odcinkach rzeki, oszacowano liczebność populacji tego gatunku w Białce Lelowskiej na około 290 osobników. Liczebność minimalną, ze względu na brak danych pozwalających na oszacowanie efektywnej wielkości populacji, przyjęto arbitralnie jako 10% populacji maksymalnej. Na podstawie uzyskanych </w:t>
      </w:r>
      <w:r>
        <w:lastRenderedPageBreak/>
        <w:t>wyników można stwierdzić że w obszarze jest to populacja osiadła o trudnej do</w:t>
      </w:r>
      <w:r>
        <w:t xml:space="preserve"> </w:t>
      </w:r>
      <w:r>
        <w:t>oszacowania liczebności.</w:t>
      </w:r>
      <w:r>
        <w:t xml:space="preserve"> </w:t>
      </w:r>
      <w:r>
        <w:t>Stan zachowania średni lub zdegradowany (C) przyjęto na podstawie oceny stopienia zachowania cech</w:t>
      </w:r>
      <w:r>
        <w:t xml:space="preserve"> </w:t>
      </w:r>
      <w:r>
        <w:t>siedliska gatunku III (elementy średnio zachowane lub częściowo zdegradowane) i przy możliwości</w:t>
      </w:r>
      <w:r>
        <w:t xml:space="preserve"> </w:t>
      </w:r>
      <w:r>
        <w:t>odtworzenia II (możliwe przy średnim nakładzie środków). Stopień zachowania cech siedliska gatunku</w:t>
      </w:r>
      <w:r>
        <w:t xml:space="preserve"> </w:t>
      </w:r>
      <w:r>
        <w:t>oceniono na podstawie badań i obserwacji terenowych w 2020 r. W obszarze występują umiarkowan</w:t>
      </w:r>
      <w:r>
        <w:t>e</w:t>
      </w:r>
      <w:r>
        <w:t xml:space="preserve"> odchylenia od charakteru naturalnego, koryto jest pojedyncze sinusoidalne, brzegi tylko punktowo umocnione narzutem kamiennym, choć nie ma zasadniczo możliwości migracji bocznej, a gruby rumosz drzewny występuje nieliczne. Ilość kryjówek dla osobników dorosłych, potencjalne tarliska jak i miejsca odrostu narybku są stosunkowo nieliczne. W siedlisku występują zakłócenia przepływu, dodatkowo dwie bariery migracyjne rozdzielają subpopulacje minoga strumieniowego. Ze względu na twardość ogólną i poziom związków azotu III wartościowego jakość wody przekracza wartości klasy II (wg rozporządzenia Ministra Gospodarki Morskiej i Żeglugi Śródlądowej z dnia 11 października 2019 r.). Siedlisko jest typowe dla minoga strumieniowego. Zagrożenie dla funkcjonowania jego populacji wynika z istnienia barier migracji, licznej populacji pstrąga potokowego (wyłącznie osobniki dorosłe) oraz braku narybku i form młodocianych ryb karpiowatych stanowiących bazę pokarmową tego gatunku. Stopień trudności odtworzenia cech siedliska oceniono jako możliwy przy średnim nakładzie środków. Izolacja: A (populacja (prawie) izolowana), populacja minoga strumieniowego jest izolowana. W granicach obszaru Natura 2000 znajdują się łącznie trzy niemożliwe do pokonania przez zwierzęta wodne bariery migracji: na węźle wodnym w m. Bogumiłek (dwie bariery) oraz na jazie w Białej Wielkiej (jedna bariera) oraz dwie bariery o umiarkowanym stopniu trudności dla migracji: przepust w ciągu drogi powiatowej w m. Wąsosz i węzeł wodny w Aleksandrowie k. Wąsosza. Przegrody te w trzech pierwszych przypadkach uniemożliwiają, a w dwóch pozostałych – utrudniają wędrówkę zwierzętom w górę cieku i pełną dyspersję genów.</w:t>
      </w:r>
    </w:p>
    <w:p w14:paraId="369F2285" w14:textId="60CB71FF" w:rsidR="00715983" w:rsidRDefault="00715983" w:rsidP="00715983">
      <w:r>
        <w:t xml:space="preserve"> Ocena ogólna znaczenia obszaru dla ochrony minoga strumieniowego w Polsce określona została jako C</w:t>
      </w:r>
      <w:r>
        <w:t xml:space="preserve"> </w:t>
      </w:r>
      <w:r>
        <w:t>(znacząca). Wzięto pod uwagę ocenę populacji C, ocenę stanu zachowania siedliska C i ocenę A izolacji stanowisk na tle zasięgu gatunku. Podczas badań w 2020 r. odłowiono tylko 1 minoga, przy trzech wytypowanych stanowiskach. Był to tylko osobnik dorosły. Względna liczebność, a także udział w zespole ryb i minogów biorąc pod uwagę cały obszar Natura 2000 był znikomy, statystycznie bliski zeru. Dodatkowo w wyniku przegród populacja jest bardzo izolowana.</w:t>
      </w:r>
    </w:p>
    <w:p w14:paraId="11FC0DDA" w14:textId="77777777" w:rsidR="00715983" w:rsidRDefault="00715983" w:rsidP="00715983">
      <w:r>
        <w:t xml:space="preserve"> 1163 Głowacz białopłetwy (Cottus gobio)</w:t>
      </w:r>
    </w:p>
    <w:p w14:paraId="70AB20CC" w14:textId="5AD33393" w:rsidR="00715983" w:rsidRDefault="00715983" w:rsidP="00715983">
      <w:r>
        <w:t xml:space="preserve"> Ocena populacji C, populacja gatunku w obszarze mieści się w przedziale 2% ≥ p &gt; 0% populacji krajowej. Liczebność maksymalną populacji określono na podstawie badań własnych, a liczebność minimalną, ze względu na brak danych pozwalających na oszacowanie efektywnej wielkości populacji, przyjęto arbitralnie jako 10% populacji maksymalnej. Do oszacowania liczebności populacji tego gatunku w 2020 roku wykorzystano badania własne sumując liczebności izolowanych subpopulacji na podstawie danych z trzech stanowisk połowu (stanowiska 2, 4 i 6) i informacji literaturowych o historycznych odłowach w stanowiskach znajdujących się w granicach obszaru Natura 2000 Białka Lelowska PLH240031. Szacowana liczebność populacji głowacza białopłetwego wynosiła 550 osobników. Do weryfikacji wiarygodności uzyskanych wyników wykorzystano publikację Penczaka i in. (2007), gdzie określono liczebność głowacza białopłetwego w Białce Lelowskiej na 14 osobników na 500 m linii brzegowej (100-metrowe stanowisko łowione przy obydwu brzegach rzeki traktowano jak 200-metrowe stanowisko łowione przy jednym brzegu). Przyjmując równomierne rozmieszczenie osobników głowacza białopłetwego na odcinku około 8 km koryta rzeki, oszacowano liczebność populacji tego gatunku w Białce Lelowskiej na 420 osobników.</w:t>
      </w:r>
    </w:p>
    <w:p w14:paraId="16F453BB" w14:textId="74823759" w:rsidR="00715983" w:rsidRDefault="00715983" w:rsidP="00715983">
      <w:r>
        <w:t>Stan zachowania dobry (B) przyjęto na podstawie oceny stopienia zachowania cech siedliska gatunku II (elementy dobrze zachowane) i przy możliwości odtworzenia II (możliwe przy średnim nakładzie środków)</w:t>
      </w:r>
      <w:r>
        <w:t>.</w:t>
      </w:r>
      <w:r>
        <w:t xml:space="preserve"> Stopień zachowania cech siedliska gatunku oceniono na podstawie badań i obserwacji terenowych w 2020 r.</w:t>
      </w:r>
    </w:p>
    <w:p w14:paraId="4FD694AC" w14:textId="44AEDE77" w:rsidR="00715983" w:rsidRDefault="00715983" w:rsidP="00715983">
      <w:r>
        <w:t xml:space="preserve"> W obszarze występują umiarkowane odchylenia od charakteru naturalnego, koryto jest pojedyncze sinusoidalne, brzegi tylko punktowo umocnione narzutem kamiennym, choć nie ma zasadniczo możliwości migracji bocznej, a gruby rumosz drzewny występuje nieliczne to zarówno kryjówki dla osobników dorosłych jak i miejsca odrostu narybku są w ilościach optymalnych. W siedlisku głowacza białopłetwego w granicach</w:t>
      </w:r>
    </w:p>
    <w:p w14:paraId="20F93F6C" w14:textId="50A75A57" w:rsidR="00715983" w:rsidRDefault="00715983" w:rsidP="00715983">
      <w:r>
        <w:t>Oddziaływania negatywne Poziom</w:t>
      </w:r>
      <w:r>
        <w:t xml:space="preserve"> </w:t>
      </w:r>
      <w:r>
        <w:t>Zagrożenia i presje [kod]</w:t>
      </w:r>
    </w:p>
    <w:p w14:paraId="1DD4096F" w14:textId="31950352" w:rsidR="00715983" w:rsidRDefault="00715983" w:rsidP="00715983">
      <w:r>
        <w:t xml:space="preserve"> Zanieczyszczenie (opcjonalnie) [kod] Wewnętrzne/ zewnętrzne</w:t>
      </w:r>
    </w:p>
    <w:p w14:paraId="6A7AB579" w14:textId="77777777" w:rsidR="00715983" w:rsidRDefault="00715983" w:rsidP="00715983">
      <w:r>
        <w:t xml:space="preserve"> [i|o|b]</w:t>
      </w:r>
    </w:p>
    <w:p w14:paraId="0090CE1C" w14:textId="77777777" w:rsidR="00715983" w:rsidRDefault="00715983" w:rsidP="00715983">
      <w:r>
        <w:t xml:space="preserve"> H J02.05.05 o</w:t>
      </w:r>
    </w:p>
    <w:p w14:paraId="4E3FB1E8" w14:textId="77777777" w:rsidR="00715983" w:rsidRDefault="00715983" w:rsidP="00715983">
      <w:r>
        <w:t xml:space="preserve"> H J03.02.01 o</w:t>
      </w:r>
    </w:p>
    <w:p w14:paraId="7C98F1C9" w14:textId="77777777" w:rsidR="00715983" w:rsidRDefault="00715983" w:rsidP="00715983">
      <w:r>
        <w:t xml:space="preserve"> H K03.04 i</w:t>
      </w:r>
    </w:p>
    <w:p w14:paraId="1280B5E4" w14:textId="77777777" w:rsidR="00715983" w:rsidRDefault="00715983" w:rsidP="00715983">
      <w:r>
        <w:t xml:space="preserve"> M F01 o</w:t>
      </w:r>
    </w:p>
    <w:p w14:paraId="4D106036" w14:textId="691697AA" w:rsidR="00715983" w:rsidRDefault="00715983" w:rsidP="00715983">
      <w:r>
        <w:t xml:space="preserve"> obszaru Natura 2000 występują zakłócenia przepływu na odcinkach rzeki Białki: od m. Wąsosz do węzła wodnego w m. Bogumiłek (w górnej części) oraz od m. Bogumiłek do jazu w m. Biała Wielka. Ze względu na twardość ogólną i poziom związków azotu III wartościowego jakość wody przekracza wartości klasy II (wg rozporządzenia Ministra Gospodarki Morskiej i Żeglugi Śródlądowej z dnia 11 października 2019 r.). Warunki siedliskowe nie są do końca typowe dla głowacza białopłetwego, jednak liczebność i struktura populacji</w:t>
      </w:r>
      <w:r>
        <w:t xml:space="preserve"> </w:t>
      </w:r>
      <w:r>
        <w:t>wskazuje na całkiem dobre jego przystosowanie do występujących warunków siedliskowych. Zagrożenie dla funkcjonowania jego populacji wynika z istnienia barier migracji, licznej populacji pstrąga potokowego (wyłącznie osobniki dorosłe) oraz braku narybku i form młodocianych ryb karpiowatych stanowiących bazę</w:t>
      </w:r>
      <w:r>
        <w:t xml:space="preserve"> </w:t>
      </w:r>
      <w:r>
        <w:t>pokarmową pstrąga. Możliwość poprawy cech siedliska istnieje przy średnim nakładzie środków. Izolacja: A (populacja (prawie) izolowana), populacja głowacza białopłetwego jest izolowana. W granicach obszaru Natura 2000 znajdują się łącznie trzy niemożliwe do pokonania przez zwierzęta wodne bariery migracji: na węźle wodnym w m. Bogumiłek (dwie bariery) oraz na jazie w Białej Wielkiej (jedna bariera) oraz dwie bariery o umiarkowanym stopniu trudności dla migracji: przepust w ciągu drogi powiatowej w m. Wąsosz i węzeł wodny w Aleksandrowie k. Wąsosza. Przegrody te w trzech pierwszych przypadkach uniemożliwiają, a w dwóch pozostałych – utrudniają wędrówkę zwierzętom w górę cieku i pełną dyspersję genów. Na szczęście gatunek ten nie odbywa typowych migracji tarłowych rozradzając się w okolicy swych żerowisk i miejsc odpoczynku.</w:t>
      </w:r>
    </w:p>
    <w:p w14:paraId="14AB9279" w14:textId="03656091" w:rsidR="00715983" w:rsidRDefault="00715983" w:rsidP="00715983">
      <w:r>
        <w:t xml:space="preserve"> Ocena ogólna znaczenia obszaru dla ochrony głowacza białopłetwego w Polsce określona została jako C (znacząca). Wzięto pod uwagę ocenę populacji C, ocenę stanu zachowania siedliska B i ocenę A izolacji stanowisk na tle zasięgu gatunku.</w:t>
      </w:r>
    </w:p>
    <w:p w14:paraId="5B718260" w14:textId="63364682" w:rsidR="00715983" w:rsidRDefault="00715983" w:rsidP="00715983">
      <w:r>
        <w:t xml:space="preserve"> Głowacze w ilości 26 sztuk odłowiono na 3 stanowiskach z 3 zlokalizowanych w obszarze Natura 2000. Były to osobniki w różnym wieku, co świadczy o tym, iż populacja tego gatunku w Białce Lelowskiej odbywa tarło.</w:t>
      </w:r>
    </w:p>
    <w:p w14:paraId="108458DA" w14:textId="753583A5" w:rsidR="00715983" w:rsidRDefault="00715983" w:rsidP="00715983">
      <w:r>
        <w:t xml:space="preserve"> Ich względna liczebność, a także udział w zespole ryb i minogów, szczególnie w wyższych partiach rzeki i jej dopływie są praktycznie właściwe, choć w dolnych niezadowalające. Dodatkowo w wyniku przegród populacja jest bardzo izolowana.</w:t>
      </w:r>
    </w:p>
    <w:p w14:paraId="40515300" w14:textId="77777777" w:rsidR="00715983" w:rsidRDefault="00715983" w:rsidP="00715983">
      <w:r>
        <w:t xml:space="preserve"> 1355 Wydra europejska Lutra lutra</w:t>
      </w:r>
    </w:p>
    <w:p w14:paraId="129382F1" w14:textId="7B571FD6" w:rsidR="00715983" w:rsidRDefault="00715983" w:rsidP="00715983">
      <w:r>
        <w:t xml:space="preserve"> W obszarze występuje 2-3 osobników tego gatunku, co stanowi 0,005% populacji krajowej. Gatunek zasiedla</w:t>
      </w:r>
      <w:r>
        <w:t xml:space="preserve"> </w:t>
      </w:r>
      <w:r>
        <w:t xml:space="preserve"> Białkę Lelowską na odcinku 9,14 km w granicach obszaru Natura 2000 (zagęszczenie 1,8 osobnika/10 km</w:t>
      </w:r>
      <w:r>
        <w:t xml:space="preserve"> </w:t>
      </w:r>
      <w:r>
        <w:t xml:space="preserve"> rzeki). Podczas przeprowadzonych w latach 2022 i 2023 badań potwierdzono występowanie dwóch osobników, natomiast na jedno stanowisko (dla fragmentu cieku o długości powyżej 16 km), przypada</w:t>
      </w:r>
      <w:r>
        <w:t xml:space="preserve"> </w:t>
      </w:r>
      <w:r>
        <w:t>zazwyczaj 4-6 osobników w zależności od zasobności siedliska, stąd odcinek 9,14 km cieku może zasiedlać</w:t>
      </w:r>
      <w:r>
        <w:t xml:space="preserve"> </w:t>
      </w:r>
      <w:r>
        <w:t xml:space="preserve">2,29 osobnika (przyjmując 4 osobniki na 16 km). </w:t>
      </w:r>
    </w:p>
    <w:p w14:paraId="4013107F" w14:textId="77777777" w:rsidR="00715983" w:rsidRDefault="00715983" w:rsidP="00715983">
      <w:r>
        <w:t>1337 Bóbr europejski Castor fiber</w:t>
      </w:r>
    </w:p>
    <w:p w14:paraId="52B1C98A" w14:textId="0B6972B9" w:rsidR="00715983" w:rsidRDefault="00715983" w:rsidP="00715983">
      <w:r>
        <w:t xml:space="preserve"> W obszarze występuje 19-25 osobników tego gatunku, co stanowi 0,069% populacji krajowej. W przypadku</w:t>
      </w:r>
      <w:r>
        <w:t xml:space="preserve"> </w:t>
      </w:r>
      <w:r>
        <w:t xml:space="preserve"> bobra europejskiego 3 km cieku o przeciętnej jakości siedliska zasiedla 6-8 osobników. Zakładając</w:t>
      </w:r>
      <w:r>
        <w:t xml:space="preserve"> </w:t>
      </w:r>
      <w:r>
        <w:t xml:space="preserve"> powyższe, na odcinku 9,14 km rzeki znajduje się minimum 19 osobników a maksymalnie 25 osobników).</w:t>
      </w:r>
    </w:p>
    <w:p w14:paraId="445089CD" w14:textId="2F60DA78" w:rsidR="00715983" w:rsidRDefault="00715983" w:rsidP="00715983">
      <w:r>
        <w:t xml:space="preserve"> Tym samym gatunek zasiedla Białkę Lelowską na odcinku 9,14 km w granicach obszaru Natura 2000, co</w:t>
      </w:r>
      <w:r>
        <w:t xml:space="preserve"> </w:t>
      </w:r>
      <w:r>
        <w:t>daje zagęszczenie 20,79 – 27,35 osobnika/10 km rzeki). Odnosząc zagęszczenie do liczebności gatunku w</w:t>
      </w:r>
      <w:r>
        <w:t xml:space="preserve"> </w:t>
      </w:r>
      <w:r>
        <w:t xml:space="preserve"> obszarze, tj. min. 19 osobników na 9,14 km rzeki to odpowiednio 20,79 osobnika na 10 km oraz max. 25</w:t>
      </w:r>
      <w:r>
        <w:t xml:space="preserve"> </w:t>
      </w:r>
      <w:r>
        <w:t xml:space="preserve"> osobników na 9,14 km rzeki to odpowiednio 27,35 osobnika na 10 km)</w:t>
      </w:r>
    </w:p>
    <w:p w14:paraId="28B708EE" w14:textId="600C201A" w:rsidR="00715983" w:rsidRDefault="00715983" w:rsidP="00715983">
      <w:r>
        <w:t>D</w:t>
      </w:r>
      <w:r>
        <w:t>odatkowo pragnę zgłosić że przy rzece występuje również kumak nizinny, zimorodek oraz jest to rzeka nizinna włosienniczkowata na całym odc.</w:t>
      </w:r>
    </w:p>
    <w:sectPr w:rsidR="00715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57"/>
    <w:rsid w:val="002753DE"/>
    <w:rsid w:val="002E3E57"/>
    <w:rsid w:val="00433570"/>
    <w:rsid w:val="005B61EF"/>
    <w:rsid w:val="006650A0"/>
    <w:rsid w:val="00712D8E"/>
    <w:rsid w:val="00715983"/>
    <w:rsid w:val="008430BD"/>
    <w:rsid w:val="00911680"/>
    <w:rsid w:val="009418D3"/>
    <w:rsid w:val="00950479"/>
    <w:rsid w:val="00A3616A"/>
    <w:rsid w:val="00B82662"/>
    <w:rsid w:val="00BE53D4"/>
    <w:rsid w:val="00CB7F7E"/>
    <w:rsid w:val="00D91E1A"/>
    <w:rsid w:val="00DE4D5D"/>
    <w:rsid w:val="00E0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6B31"/>
  <w15:chartTrackingRefBased/>
  <w15:docId w15:val="{69877E99-D078-4D3C-A9E2-D30D7E84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3E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3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E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E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E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E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E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E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aliases w:val="Spis treści 1KB"/>
    <w:basedOn w:val="Normalny"/>
    <w:next w:val="Normalny"/>
    <w:autoRedefine/>
    <w:uiPriority w:val="39"/>
    <w:unhideWhenUsed/>
    <w:qFormat/>
    <w:rsid w:val="00B82662"/>
    <w:pPr>
      <w:spacing w:before="200" w:after="0" w:line="276" w:lineRule="auto"/>
    </w:pPr>
    <w:rPr>
      <w:rFonts w:eastAsiaTheme="minorEastAsia"/>
      <w:color w:val="44546A" w:themeColor="text2"/>
      <w:sz w:val="26"/>
      <w:szCs w:val="20"/>
      <w:lang w:eastAsia="ja-JP" w:bidi="pl-PL"/>
    </w:rPr>
  </w:style>
  <w:style w:type="paragraph" w:customStyle="1" w:styleId="Styl1">
    <w:name w:val="Styl1"/>
    <w:basedOn w:val="Spistreci1"/>
    <w:link w:val="Styl1Znak"/>
    <w:qFormat/>
    <w:rsid w:val="00BE53D4"/>
    <w:pPr>
      <w:tabs>
        <w:tab w:val="left" w:pos="440"/>
        <w:tab w:val="right" w:leader="dot" w:pos="9062"/>
      </w:tabs>
      <w:spacing w:after="240"/>
    </w:pPr>
    <w:rPr>
      <w:rFonts w:ascii="Arial" w:eastAsia="Times New Roman" w:hAnsi="Arial" w:cs="Arial"/>
      <w:noProof/>
      <w:color w:val="2F5496" w:themeColor="accent1" w:themeShade="BF"/>
      <w:sz w:val="28"/>
    </w:rPr>
  </w:style>
  <w:style w:type="character" w:customStyle="1" w:styleId="Styl1Znak">
    <w:name w:val="Styl1 Znak"/>
    <w:basedOn w:val="Domylnaczcionkaakapitu"/>
    <w:link w:val="Styl1"/>
    <w:rsid w:val="00BE53D4"/>
    <w:rPr>
      <w:rFonts w:ascii="Arial" w:eastAsia="Times New Roman" w:hAnsi="Arial" w:cs="Arial"/>
      <w:noProof/>
      <w:color w:val="2F5496" w:themeColor="accent1" w:themeShade="BF"/>
      <w:sz w:val="28"/>
      <w:szCs w:val="20"/>
      <w:lang w:eastAsia="ja-JP" w:bidi="pl-PL"/>
    </w:rPr>
  </w:style>
  <w:style w:type="paragraph" w:customStyle="1" w:styleId="Styl2">
    <w:name w:val="Styl2"/>
    <w:basedOn w:val="Nagwek2"/>
    <w:link w:val="Styl2Znak"/>
    <w:qFormat/>
    <w:rsid w:val="00BE53D4"/>
    <w:rPr>
      <w:rFonts w:ascii="Arial" w:hAnsi="Arial"/>
      <w:i/>
      <w:sz w:val="24"/>
    </w:rPr>
  </w:style>
  <w:style w:type="character" w:customStyle="1" w:styleId="Styl2Znak">
    <w:name w:val="Styl2 Znak"/>
    <w:basedOn w:val="Nagwek2Znak"/>
    <w:link w:val="Styl2"/>
    <w:rsid w:val="00BE53D4"/>
    <w:rPr>
      <w:rFonts w:ascii="Arial" w:eastAsiaTheme="majorEastAsia" w:hAnsi="Arial" w:cstheme="majorBidi"/>
      <w:i/>
      <w:color w:val="2F5496" w:themeColor="accent1" w:themeShade="BF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3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elanagwek">
    <w:name w:val="Tabela_nagłówek"/>
    <w:basedOn w:val="Normalny"/>
    <w:link w:val="TabelanagwekZnak"/>
    <w:autoRedefine/>
    <w:qFormat/>
    <w:rsid w:val="00A3616A"/>
    <w:pPr>
      <w:framePr w:hSpace="141" w:wrap="around" w:vAnchor="text" w:hAnchor="text" w:y="1"/>
      <w:spacing w:before="100" w:beforeAutospacing="1" w:after="0" w:line="360" w:lineRule="auto"/>
      <w:suppressOverlap/>
      <w:jc w:val="center"/>
    </w:pPr>
    <w:rPr>
      <w:rFonts w:eastAsiaTheme="minorEastAsia" w:cstheme="majorHAnsi"/>
      <w:b/>
      <w:sz w:val="20"/>
      <w:szCs w:val="20"/>
    </w:rPr>
  </w:style>
  <w:style w:type="character" w:customStyle="1" w:styleId="TabelanagwekZnak">
    <w:name w:val="Tabela_nagłówek Znak"/>
    <w:basedOn w:val="Domylnaczcionkaakapitu"/>
    <w:link w:val="Tabelanagwek"/>
    <w:rsid w:val="00A3616A"/>
    <w:rPr>
      <w:rFonts w:eastAsiaTheme="minorEastAsia" w:cstheme="majorHAnsi"/>
      <w:b/>
      <w:sz w:val="20"/>
      <w:szCs w:val="20"/>
    </w:rPr>
  </w:style>
  <w:style w:type="paragraph" w:customStyle="1" w:styleId="Tytuakapitu">
    <w:name w:val="Tytuł akapitu"/>
    <w:basedOn w:val="Normalny"/>
    <w:link w:val="TytuakapituZnak"/>
    <w:qFormat/>
    <w:rsid w:val="009418D3"/>
    <w:pPr>
      <w:suppressAutoHyphens/>
      <w:spacing w:line="240" w:lineRule="auto"/>
      <w:jc w:val="both"/>
    </w:pPr>
    <w:rPr>
      <w:b/>
      <w:bCs/>
      <w:color w:val="18608A"/>
    </w:rPr>
  </w:style>
  <w:style w:type="character" w:customStyle="1" w:styleId="TytuakapituZnak">
    <w:name w:val="Tytuł akapitu Znak"/>
    <w:basedOn w:val="Domylnaczcionkaakapitu"/>
    <w:link w:val="Tytuakapitu"/>
    <w:rsid w:val="009418D3"/>
    <w:rPr>
      <w:b/>
      <w:bCs/>
      <w:color w:val="18608A"/>
    </w:rPr>
  </w:style>
  <w:style w:type="character" w:customStyle="1" w:styleId="Nagwek1Znak">
    <w:name w:val="Nagłówek 1 Znak"/>
    <w:basedOn w:val="Domylnaczcionkaakapitu"/>
    <w:link w:val="Nagwek1"/>
    <w:uiPriority w:val="9"/>
    <w:rsid w:val="002E3E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E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E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E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E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3E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E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E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3E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3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3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3E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E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3E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E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3E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E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1736</Words>
  <Characters>10420</Characters>
  <Application>Microsoft Office Word</Application>
  <DocSecurity>0</DocSecurity>
  <Lines>86</Lines>
  <Paragraphs>24</Paragraphs>
  <ScaleCrop>false</ScaleCrop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Banaszak</dc:creator>
  <cp:keywords/>
  <dc:description/>
  <cp:lastModifiedBy>Katarzyna Banaszak</cp:lastModifiedBy>
  <cp:revision>3</cp:revision>
  <dcterms:created xsi:type="dcterms:W3CDTF">2025-04-06T10:54:00Z</dcterms:created>
  <dcterms:modified xsi:type="dcterms:W3CDTF">2025-04-06T11:02:00Z</dcterms:modified>
</cp:coreProperties>
</file>